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76" w:type="dxa"/>
        <w:tblInd w:w="-11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1"/>
        <w:gridCol w:w="2166"/>
        <w:gridCol w:w="2551"/>
        <w:gridCol w:w="1984"/>
        <w:gridCol w:w="1277"/>
        <w:gridCol w:w="1843"/>
        <w:gridCol w:w="2268"/>
        <w:gridCol w:w="2976"/>
      </w:tblGrid>
      <w:tr w:rsidR="007E0367" w:rsidRPr="003F4DBF" w:rsidTr="007E0367">
        <w:trPr>
          <w:trHeight w:val="435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bookmarkStart w:id="0" w:name="_GoBack"/>
            <w:bookmarkEnd w:id="0"/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 xml:space="preserve">MAPA DE </w:t>
            </w:r>
            <w:r w:rsidR="0064083B"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 xml:space="preserve">RISCOS - </w:t>
            </w:r>
            <w:r w:rsidR="00D51CE8"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TERMO DE REFERÊNCIA</w:t>
            </w:r>
          </w:p>
        </w:tc>
      </w:tr>
      <w:tr w:rsidR="007E0367" w:rsidRPr="003F4DBF" w:rsidTr="007E0367">
        <w:trPr>
          <w:trHeight w:val="435"/>
        </w:trPr>
        <w:tc>
          <w:tcPr>
            <w:tcW w:w="158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367" w:rsidRPr="003F4DBF" w:rsidRDefault="007E0367" w:rsidP="00726D1E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sz w:val="24"/>
                <w:szCs w:val="24"/>
                <w:lang w:eastAsia="pt-BR"/>
              </w:rPr>
              <w:t>Objeto:</w:t>
            </w:r>
            <w:r w:rsidRPr="003F4DBF">
              <w:rPr>
                <w:rFonts w:eastAsia="Times New Roman" w:cstheme="minorHAnsi"/>
                <w:sz w:val="24"/>
                <w:szCs w:val="24"/>
                <w:lang w:eastAsia="pt-BR"/>
              </w:rPr>
              <w:t xml:space="preserve"> </w:t>
            </w:r>
            <w:r w:rsidR="003F4DBF" w:rsidRPr="003F4DBF">
              <w:rPr>
                <w:rFonts w:eastAsia="Times New Roman" w:cstheme="minorHAnsi"/>
                <w:sz w:val="24"/>
                <w:szCs w:val="24"/>
                <w:lang w:eastAsia="pt-BR"/>
              </w:rPr>
              <w:t>A</w:t>
            </w:r>
            <w:r w:rsidR="00D942ED">
              <w:rPr>
                <w:rFonts w:cstheme="minorHAnsi"/>
                <w:sz w:val="24"/>
                <w:szCs w:val="24"/>
              </w:rPr>
              <w:t xml:space="preserve">quisição </w:t>
            </w:r>
            <w:r w:rsidR="00ED2A2A">
              <w:rPr>
                <w:rFonts w:cstheme="minorHAnsi"/>
                <w:sz w:val="24"/>
                <w:szCs w:val="24"/>
              </w:rPr>
              <w:t xml:space="preserve">de </w:t>
            </w:r>
            <w:r w:rsidR="00ED2A2A" w:rsidRPr="00ED2A2A">
              <w:rPr>
                <w:rFonts w:cstheme="minorHAnsi"/>
                <w:sz w:val="24"/>
                <w:szCs w:val="24"/>
              </w:rPr>
              <w:t xml:space="preserve">medicamentos para atendimento </w:t>
            </w:r>
            <w:r w:rsidR="00726D1E">
              <w:rPr>
                <w:rFonts w:cstheme="minorHAnsi"/>
                <w:sz w:val="24"/>
                <w:szCs w:val="24"/>
              </w:rPr>
              <w:t xml:space="preserve">das demandas judiciais </w:t>
            </w:r>
            <w:r w:rsidR="00ED2A2A" w:rsidRPr="00ED2A2A">
              <w:rPr>
                <w:rFonts w:cstheme="minorHAnsi"/>
                <w:sz w:val="24"/>
                <w:szCs w:val="24"/>
              </w:rPr>
              <w:t>da Secretaria Municipal de Saúde -  SESAU.</w:t>
            </w:r>
          </w:p>
        </w:tc>
      </w:tr>
      <w:tr w:rsidR="007E0367" w:rsidRPr="003F4DBF" w:rsidTr="00D51CE8">
        <w:trPr>
          <w:trHeight w:val="435"/>
        </w:trPr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IDENTIFICAÇÃO DO RISCO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ANÁLISE DO RISCO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RESPOSTA DO RISCO</w:t>
            </w:r>
          </w:p>
        </w:tc>
      </w:tr>
      <w:tr w:rsidR="007E0367" w:rsidRPr="003F4DBF" w:rsidTr="00444A32">
        <w:trPr>
          <w:trHeight w:val="31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DESCRIÇÃO DO RISCO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CONSEQUÊNCIA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GRAU DE IMPACTO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NÍVEL DE RISCO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MEDIDAS PREVENTIVAS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BR"/>
              </w:rPr>
              <w:t>MEDIDAS CORRETIVAS</w:t>
            </w:r>
          </w:p>
        </w:tc>
      </w:tr>
      <w:tr w:rsidR="007E0367" w:rsidRPr="003F4DBF" w:rsidTr="00444A32">
        <w:trPr>
          <w:trHeight w:val="211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Pr="003F4DBF" w:rsidRDefault="003D4AEC" w:rsidP="00AD4E4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Inobservância</w:t>
            </w:r>
            <w:r w:rsidR="00444A32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 do modelo de execução do objeto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, disposto no Art. 6º, inc. XXIII, alínea </w:t>
            </w:r>
            <w:r w:rsidR="00444A32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“e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”,</w:t>
            </w:r>
            <w:r w:rsidR="00FA2CC8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d</w:t>
            </w:r>
            <w:r w:rsidR="00FA2CC8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 Lei Federal</w:t>
            </w:r>
            <w:r w:rsidR="0064083B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 nº 14.133/2021</w:t>
            </w:r>
            <w:r w:rsidR="00FA2CC8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.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3EB0" w:rsidRDefault="00444A32" w:rsidP="00AD4E42">
            <w:pPr>
              <w:pStyle w:val="PargrafodaLista"/>
              <w:numPr>
                <w:ilvl w:val="0"/>
                <w:numId w:val="3"/>
              </w:numPr>
              <w:tabs>
                <w:tab w:val="left" w:pos="7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Não cumprimento do prazo para a execução do objeto;</w:t>
            </w:r>
          </w:p>
          <w:p w:rsidR="00444A32" w:rsidRDefault="00444A32" w:rsidP="00AD4E42">
            <w:pPr>
              <w:pStyle w:val="PargrafodaLista"/>
              <w:numPr>
                <w:ilvl w:val="0"/>
                <w:numId w:val="3"/>
              </w:numPr>
              <w:tabs>
                <w:tab w:val="left" w:pos="7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Impacto negativo na formação dos preços, tanto referenciais quanto nos preços a serem registrados;</w:t>
            </w:r>
          </w:p>
          <w:p w:rsidR="00444A32" w:rsidRPr="003F4DBF" w:rsidRDefault="00444A32" w:rsidP="00AD4E42">
            <w:pPr>
              <w:pStyle w:val="PargrafodaLista"/>
              <w:numPr>
                <w:ilvl w:val="0"/>
                <w:numId w:val="3"/>
              </w:numPr>
              <w:tabs>
                <w:tab w:val="left" w:pos="7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 Falha na execução de assistência, garantia e manutenção do objeto.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Pr="003F4DBF" w:rsidRDefault="00444A32" w:rsidP="00FA2C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Baixa</w:t>
            </w:r>
            <w:r w:rsidR="00B23EB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>(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2</w:t>
            </w:r>
            <w:r w:rsidR="007E0367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Pr="003F4DBF" w:rsidRDefault="00FA2CC8" w:rsidP="00FA2C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Alto</w:t>
            </w:r>
            <w:r w:rsidR="00B23EB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>(</w:t>
            </w:r>
            <w:r w:rsidR="00444A32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4</w:t>
            </w:r>
            <w:r w:rsidR="00B23EB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0367" w:rsidRPr="003F4DBF" w:rsidRDefault="00AD4E42" w:rsidP="00FA2C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E42" w:rsidRPr="003F4DBF" w:rsidRDefault="007E0367" w:rsidP="00AD4E4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1. </w:t>
            </w:r>
            <w:r w:rsidR="00AD4E42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Orientar e capacitar os agentes de contratação de forma a atender os preceitos legais, quanto aos requisitos necessários </w:t>
            </w:r>
            <w:r w:rsidR="00AD4E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para a elaboração do Termo de Referência</w:t>
            </w:r>
            <w:r w:rsidR="00AD4E42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Pr="003F4DBF" w:rsidRDefault="00D51CE8" w:rsidP="00AD4E4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1. </w:t>
            </w:r>
            <w:r w:rsidR="00AD4E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No momento da</w:t>
            </w:r>
            <w:r w:rsidR="00AD4E42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AD4E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elaboração do Termo de Referência</w:t>
            </w:r>
            <w:r w:rsidR="00AD4E42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AD4E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concomitantemente com a análise do ETP </w:t>
            </w:r>
            <w:r w:rsidR="00AD4E42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pela Coordenadoria competente,</w:t>
            </w:r>
            <w:r w:rsidR="00AD4E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ao identificar a ausência de informação, a mesma deverá</w:t>
            </w:r>
            <w:r w:rsidR="00AD4E42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requerer ao órgão demandante </w:t>
            </w:r>
            <w:r w:rsidR="00AD4E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subsídios para que se proceda com os devidos ajustes</w:t>
            </w:r>
            <w:r w:rsidR="0064083B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.</w:t>
            </w:r>
          </w:p>
        </w:tc>
      </w:tr>
      <w:tr w:rsidR="007E0367" w:rsidRPr="003F4DBF" w:rsidTr="00192081">
        <w:trPr>
          <w:trHeight w:val="798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E0367" w:rsidRPr="003F4DBF" w:rsidRDefault="007E0367" w:rsidP="007E036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Pr="003F4DBF" w:rsidRDefault="003D4AEC" w:rsidP="0019208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Inobservância dos </w:t>
            </w:r>
            <w:r w:rsidR="00D32BDB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Requisitos de forma e critérios de seleção do fornecedor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, disposto no Art. 6º, inc. XXIII, alínea </w:t>
            </w:r>
            <w:r w:rsidR="00D32BDB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“h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”,</w:t>
            </w: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d</w:t>
            </w: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 Lei Federal nº 14.133/2021.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Default="00D32BDB" w:rsidP="0019208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1. Falta de critério objetivo de julgamento da melhor proposta a ser ofertada</w:t>
            </w:r>
            <w:r w:rsidR="00A2747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;</w:t>
            </w:r>
            <w:r w:rsidR="007E0367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 xml:space="preserve">2. </w:t>
            </w:r>
            <w:r w:rsidR="00E16F99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Ausência de regras que balize a escolha das melhores propostas;</w:t>
            </w:r>
          </w:p>
          <w:p w:rsidR="00E16F99" w:rsidRPr="003F4DBF" w:rsidRDefault="00E16F99" w:rsidP="0019208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lastRenderedPageBreak/>
              <w:t>3. Seleção de fornecedores inaptos para a execução do objeto.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E8D" w:rsidRPr="003F4DBF" w:rsidRDefault="00D25E8D" w:rsidP="00B23E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  <w:p w:rsidR="00D25E8D" w:rsidRPr="003F4DBF" w:rsidRDefault="00D25E8D" w:rsidP="00B23E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  <w:p w:rsidR="00D25E8D" w:rsidRPr="003F4DBF" w:rsidRDefault="00E16F99" w:rsidP="00B23E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Baixa</w:t>
            </w: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>(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2</w:t>
            </w: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)</w:t>
            </w:r>
          </w:p>
          <w:p w:rsidR="00D25E8D" w:rsidRPr="003F4DBF" w:rsidRDefault="00D25E8D" w:rsidP="00D25E8D">
            <w:pPr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  <w:p w:rsidR="007E0367" w:rsidRPr="003F4DBF" w:rsidRDefault="007E0367" w:rsidP="00D25E8D">
            <w:pPr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E16F99" w:rsidP="00A274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Alto</w:t>
            </w: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>(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4</w:t>
            </w: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)</w:t>
            </w:r>
          </w:p>
          <w:p w:rsidR="007E0367" w:rsidRPr="003F4DBF" w:rsidRDefault="007E0367" w:rsidP="00B23E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0367" w:rsidRPr="003F4DBF" w:rsidRDefault="00E16F99" w:rsidP="00A274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07AE" w:rsidRPr="003F4DBF" w:rsidRDefault="007E0367" w:rsidP="0019208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1. </w:t>
            </w:r>
            <w:r w:rsidR="00192081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Orientar e capacitar os agentes de contratação de forma a atender os preceitos legais, quanto aos requisitos necessários 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para a 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elaboração do Termo de Referência</w:t>
            </w:r>
            <w:r w:rsidR="00192081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.</w:t>
            </w:r>
          </w:p>
          <w:p w:rsidR="007E0367" w:rsidRPr="003F4DBF" w:rsidRDefault="007E0367" w:rsidP="00C707AE">
            <w:pPr>
              <w:rPr>
                <w:rFonts w:eastAsia="Times New Roman" w:cstheme="minorHAnsi"/>
                <w:sz w:val="24"/>
                <w:szCs w:val="24"/>
                <w:lang w:eastAsia="pt-BR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7E0367" w:rsidP="0019208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lastRenderedPageBreak/>
              <w:t xml:space="preserve">1. 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No momento da</w:t>
            </w:r>
            <w:r w:rsidR="00192081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elaboração do Termo de Referência</w:t>
            </w:r>
            <w:r w:rsidR="00192081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pela Coordenadoria competente,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ao identificar a ausência de informação, a mesma deverá</w:t>
            </w:r>
            <w:r w:rsidR="00192081"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requerer ao órgão demandante 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subsídios para </w:t>
            </w:r>
            <w:r w:rsidR="0019208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que se proceda com os devidos ajustes</w:t>
            </w:r>
            <w:r w:rsidR="00192081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.</w:t>
            </w:r>
          </w:p>
        </w:tc>
      </w:tr>
      <w:tr w:rsidR="00A27470" w:rsidRPr="003F4DBF" w:rsidTr="00444A32">
        <w:trPr>
          <w:trHeight w:val="271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7470" w:rsidRPr="003F4DBF" w:rsidRDefault="00A27470" w:rsidP="00A2747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  <w:lastRenderedPageBreak/>
              <w:t>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192081" w:rsidP="0027358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Conflito de informações no Estudo Técnico Preliminar em fase de elaboração do Termo de Referência.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081" w:rsidRDefault="00192081" w:rsidP="0027358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1. Atraso na elaboração do Termo de Referência afetando toda a fase de planejamento;</w:t>
            </w:r>
          </w:p>
          <w:p w:rsidR="00A27470" w:rsidRPr="003F4DBF" w:rsidRDefault="00192081" w:rsidP="0027358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2</w:t>
            </w:r>
            <w:r w:rsidR="00A2747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. pedidos de esclarecimentos </w:t>
            </w:r>
            <w:r w:rsidR="00356483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ou impugnações ao E</w:t>
            </w:r>
            <w:r w:rsidR="00521AA3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dital;</w:t>
            </w:r>
            <w:r w:rsidR="00A2747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 xml:space="preserve">3. </w:t>
            </w:r>
            <w:r w:rsidR="00521AA3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Atraso no atendimento das necessidades dos órgãos demandantes</w:t>
            </w:r>
            <w:r w:rsidR="00C707AE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.</w:t>
            </w:r>
          </w:p>
          <w:p w:rsidR="00A27470" w:rsidRPr="003F4DBF" w:rsidRDefault="00A27470" w:rsidP="00A274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192081" w:rsidP="00521AA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Médio</w:t>
            </w:r>
            <w:r w:rsidR="00A2747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>(</w:t>
            </w:r>
            <w:r w:rsidR="00521AA3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3</w:t>
            </w:r>
            <w:r w:rsidR="00A2747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521AA3" w:rsidP="00A274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Médio</w:t>
            </w:r>
            <w:r w:rsidR="00192081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br/>
              <w:t>(3</w:t>
            </w:r>
            <w:r w:rsidR="00A27470" w:rsidRPr="003F4DBF"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192081" w:rsidP="00A274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2081" w:rsidRPr="00192081" w:rsidRDefault="00192081" w:rsidP="00192081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1. </w:t>
            </w:r>
            <w:r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Orientar e capacitar os agentes de contratação de forma a atender os preceitos legais, quanto aos requisitos necessários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para a elaboração do Estudo Técnico Preliminar</w:t>
            </w:r>
            <w:r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.</w:t>
            </w:r>
          </w:p>
          <w:p w:rsidR="00A27470" w:rsidRPr="003F4DBF" w:rsidRDefault="00A27470" w:rsidP="00521AA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470" w:rsidRPr="003F4DBF" w:rsidRDefault="00192081" w:rsidP="0027358A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  <w:t xml:space="preserve">1.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No momento da</w:t>
            </w:r>
            <w:r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elaboração do Termo de Referência</w:t>
            </w:r>
            <w:r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pela Coordenadoria competente,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ao iden</w:t>
            </w:r>
            <w:r w:rsidR="002735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tificar conflitos de informação no Estudo Técnico Preliminar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, a mesma deverá</w:t>
            </w:r>
            <w:r w:rsidRPr="0022432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requerer ao órgão </w:t>
            </w:r>
            <w:r w:rsidR="0027358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responsável pela elaboração do ETP, que o mesmo seja readequado.</w:t>
            </w:r>
          </w:p>
        </w:tc>
      </w:tr>
    </w:tbl>
    <w:p w:rsidR="00575BE8" w:rsidRDefault="00575BE8" w:rsidP="003F4DBF">
      <w:pPr>
        <w:spacing w:line="360" w:lineRule="auto"/>
        <w:rPr>
          <w:rFonts w:cstheme="minorHAnsi"/>
          <w:b/>
          <w:sz w:val="24"/>
          <w:szCs w:val="24"/>
        </w:rPr>
      </w:pPr>
    </w:p>
    <w:p w:rsidR="003F4DBF" w:rsidRPr="00B85D82" w:rsidRDefault="003F4DBF" w:rsidP="003F4DBF">
      <w:pPr>
        <w:spacing w:after="0"/>
        <w:rPr>
          <w:sz w:val="24"/>
          <w:szCs w:val="24"/>
        </w:rPr>
      </w:pPr>
      <w:r w:rsidRPr="00B85D82">
        <w:rPr>
          <w:sz w:val="24"/>
          <w:szCs w:val="24"/>
          <w:u w:val="single"/>
        </w:rPr>
        <w:t>PROBABILIDADE DO RISCO</w:t>
      </w:r>
      <w:r w:rsidRPr="00B85D82">
        <w:rPr>
          <w:sz w:val="24"/>
          <w:szCs w:val="24"/>
        </w:rPr>
        <w:t>: A probabilidade denota a chance de o evento de risco ocorrer. Pode ser muito baixa; baixa; média; alta ou muito alta, conforme a seguir:</w:t>
      </w:r>
    </w:p>
    <w:p w:rsidR="003F4DBF" w:rsidRPr="00B85D82" w:rsidRDefault="003F4DBF" w:rsidP="003F4DBF">
      <w:pPr>
        <w:rPr>
          <w:sz w:val="24"/>
          <w:szCs w:val="24"/>
        </w:rPr>
      </w:pPr>
      <w:r w:rsidRPr="00B85D82">
        <w:rPr>
          <w:b/>
          <w:sz w:val="24"/>
          <w:szCs w:val="24"/>
        </w:rPr>
        <w:t>Peso 5:</w:t>
      </w:r>
      <w:r w:rsidRPr="00B85D82">
        <w:rPr>
          <w:sz w:val="24"/>
          <w:szCs w:val="24"/>
        </w:rPr>
        <w:t xml:space="preserve"> Muita Alta - o evento é esperado na maioria das circunstâncias.</w:t>
      </w:r>
      <w:r w:rsidRPr="00B85D82">
        <w:rPr>
          <w:sz w:val="24"/>
          <w:szCs w:val="24"/>
        </w:rPr>
        <w:br/>
      </w:r>
      <w:r w:rsidRPr="00B85D82">
        <w:rPr>
          <w:b/>
          <w:sz w:val="24"/>
          <w:szCs w:val="24"/>
        </w:rPr>
        <w:t>Peso 4:</w:t>
      </w:r>
      <w:r w:rsidRPr="00B85D82">
        <w:rPr>
          <w:sz w:val="24"/>
          <w:szCs w:val="24"/>
        </w:rPr>
        <w:t xml:space="preserve"> Alta - o evento provavelmente ocorrerá na maioria das circunstâncias.</w:t>
      </w:r>
      <w:r w:rsidRPr="00B85D82">
        <w:rPr>
          <w:sz w:val="24"/>
          <w:szCs w:val="24"/>
        </w:rPr>
        <w:br/>
      </w:r>
      <w:r w:rsidRPr="00B85D82">
        <w:rPr>
          <w:b/>
          <w:sz w:val="24"/>
          <w:szCs w:val="24"/>
        </w:rPr>
        <w:t>Peso 3:</w:t>
      </w:r>
      <w:r w:rsidRPr="00B85D82">
        <w:rPr>
          <w:sz w:val="24"/>
          <w:szCs w:val="24"/>
        </w:rPr>
        <w:t xml:space="preserve"> Média - o evento deve ocorrer em algum momento.</w:t>
      </w:r>
      <w:r w:rsidRPr="00B85D82">
        <w:rPr>
          <w:sz w:val="24"/>
          <w:szCs w:val="24"/>
        </w:rPr>
        <w:br/>
      </w:r>
      <w:r w:rsidRPr="00B85D82">
        <w:rPr>
          <w:b/>
          <w:sz w:val="24"/>
          <w:szCs w:val="24"/>
        </w:rPr>
        <w:t>Peso 2:</w:t>
      </w:r>
      <w:r w:rsidRPr="00B85D82">
        <w:rPr>
          <w:sz w:val="24"/>
          <w:szCs w:val="24"/>
        </w:rPr>
        <w:t xml:space="preserve"> Baixa - o evento pode ocorrer em algum momento.</w:t>
      </w:r>
      <w:r w:rsidRPr="00B85D82">
        <w:rPr>
          <w:sz w:val="24"/>
          <w:szCs w:val="24"/>
        </w:rPr>
        <w:br/>
      </w:r>
      <w:r w:rsidRPr="00B85D82">
        <w:rPr>
          <w:b/>
          <w:sz w:val="24"/>
          <w:szCs w:val="24"/>
        </w:rPr>
        <w:t>Peso 1:</w:t>
      </w:r>
      <w:r w:rsidRPr="00B85D82">
        <w:rPr>
          <w:sz w:val="24"/>
          <w:szCs w:val="24"/>
        </w:rPr>
        <w:t xml:space="preserve"> Muito baixa - o evento pode ocorrer apenas em circunstâncias excepcionais.</w:t>
      </w:r>
    </w:p>
    <w:p w:rsidR="003F4DBF" w:rsidRPr="00B85D82" w:rsidRDefault="003F4DBF" w:rsidP="003F4DBF">
      <w:pPr>
        <w:spacing w:after="0"/>
        <w:jc w:val="both"/>
        <w:rPr>
          <w:sz w:val="24"/>
          <w:szCs w:val="24"/>
        </w:rPr>
      </w:pPr>
      <w:r w:rsidRPr="00B85D82">
        <w:rPr>
          <w:sz w:val="24"/>
          <w:szCs w:val="24"/>
          <w:u w:val="single"/>
        </w:rPr>
        <w:lastRenderedPageBreak/>
        <w:t>IMPACTO DO RISCO</w:t>
      </w:r>
      <w:r w:rsidRPr="00B85D82">
        <w:rPr>
          <w:sz w:val="24"/>
          <w:szCs w:val="24"/>
        </w:rPr>
        <w:t>: O impacto representa o efeito da consequência. Para determinar o nível de impacto, expresso quantitativamente, deve-se considerar o seguinte:</w:t>
      </w:r>
    </w:p>
    <w:p w:rsidR="003F4DBF" w:rsidRPr="00B85D82" w:rsidRDefault="003F4DBF" w:rsidP="003F4DBF">
      <w:pPr>
        <w:spacing w:after="0"/>
        <w:jc w:val="both"/>
        <w:rPr>
          <w:sz w:val="24"/>
          <w:szCs w:val="24"/>
        </w:rPr>
      </w:pPr>
      <w:r w:rsidRPr="00B85D82">
        <w:rPr>
          <w:b/>
          <w:sz w:val="24"/>
          <w:szCs w:val="24"/>
        </w:rPr>
        <w:t>Peso 5:</w:t>
      </w:r>
      <w:r w:rsidRPr="00B85D82">
        <w:rPr>
          <w:sz w:val="24"/>
          <w:szCs w:val="24"/>
        </w:rPr>
        <w:t xml:space="preserve"> Muito alto: geram danos que comprometem o andamento de atividades essenciais da instituição ou a seus objetivos organizacionais. Esse impacto ocasiona colapso às ações de gestão; a viabilidade estratégica pode ser severamente comprometida.</w:t>
      </w:r>
    </w:p>
    <w:p w:rsidR="003F4DBF" w:rsidRPr="00B85D82" w:rsidRDefault="003F4DBF" w:rsidP="003F4DBF">
      <w:pPr>
        <w:spacing w:after="0"/>
        <w:jc w:val="both"/>
        <w:rPr>
          <w:sz w:val="24"/>
          <w:szCs w:val="24"/>
        </w:rPr>
      </w:pPr>
      <w:r w:rsidRPr="00B85D82">
        <w:rPr>
          <w:b/>
          <w:sz w:val="24"/>
          <w:szCs w:val="24"/>
        </w:rPr>
        <w:t>Peso 4:</w:t>
      </w:r>
      <w:r w:rsidRPr="00B85D82">
        <w:rPr>
          <w:sz w:val="24"/>
          <w:szCs w:val="24"/>
        </w:rPr>
        <w:t xml:space="preserve"> Alto - geram danos que comprometem a essência do processo/serviço a que a contratação se refere, impedindo-o de seguir seu curso. Esse impacto compromete acentuadamente as ações de gestão e os objetivos estratégicos podem ser fortemente comprometidos;</w:t>
      </w:r>
    </w:p>
    <w:p w:rsidR="003F4DBF" w:rsidRPr="00B85D82" w:rsidRDefault="003F4DBF" w:rsidP="003F4DBF">
      <w:pPr>
        <w:spacing w:after="0"/>
        <w:jc w:val="both"/>
        <w:rPr>
          <w:sz w:val="24"/>
          <w:szCs w:val="24"/>
        </w:rPr>
      </w:pPr>
      <w:r w:rsidRPr="00B85D82">
        <w:rPr>
          <w:b/>
          <w:sz w:val="24"/>
          <w:szCs w:val="24"/>
        </w:rPr>
        <w:t>Peso 3:</w:t>
      </w:r>
      <w:r w:rsidRPr="00B85D82">
        <w:rPr>
          <w:sz w:val="24"/>
          <w:szCs w:val="24"/>
        </w:rPr>
        <w:t xml:space="preserve"> Médio - geram danos que comprometem parcialmente o processo/serviço a que a contratação se refere, atrasando-o ou interferindo em sua qualidade. O impacto é significativo no alcance das ações de gestão;</w:t>
      </w:r>
    </w:p>
    <w:p w:rsidR="003F4DBF" w:rsidRPr="00B85D82" w:rsidRDefault="003F4DBF" w:rsidP="003F4DBF">
      <w:pPr>
        <w:spacing w:after="0"/>
        <w:jc w:val="both"/>
        <w:rPr>
          <w:sz w:val="24"/>
          <w:szCs w:val="24"/>
        </w:rPr>
      </w:pPr>
      <w:r w:rsidRPr="00B85D82">
        <w:rPr>
          <w:b/>
          <w:sz w:val="24"/>
          <w:szCs w:val="24"/>
        </w:rPr>
        <w:t>Peso 2:</w:t>
      </w:r>
      <w:r w:rsidRPr="00B85D82">
        <w:rPr>
          <w:sz w:val="24"/>
          <w:szCs w:val="24"/>
        </w:rPr>
        <w:t xml:space="preserve"> Baixo - geram danos que não comprometem ou comprometem muito pouco o andamento dos processos/serviço a que a contratação se refere. Devem ser catalogados nos relatórios pós-contratuais com vistas a novo planejamento.</w:t>
      </w:r>
    </w:p>
    <w:p w:rsidR="003F4DBF" w:rsidRPr="00B85D82" w:rsidRDefault="003F4DBF" w:rsidP="003F4DBF">
      <w:pPr>
        <w:jc w:val="both"/>
        <w:rPr>
          <w:sz w:val="24"/>
          <w:szCs w:val="24"/>
        </w:rPr>
      </w:pPr>
      <w:r w:rsidRPr="00B85D82">
        <w:rPr>
          <w:b/>
          <w:sz w:val="24"/>
          <w:szCs w:val="24"/>
        </w:rPr>
        <w:t>Peso 1:</w:t>
      </w:r>
      <w:r w:rsidRPr="00B85D82">
        <w:rPr>
          <w:sz w:val="24"/>
          <w:szCs w:val="24"/>
        </w:rPr>
        <w:t xml:space="preserve"> Muito baixo - o impacto é mínimo no alcance das ações de gestão.</w:t>
      </w:r>
    </w:p>
    <w:p w:rsidR="003F4DBF" w:rsidRPr="00B85D82" w:rsidRDefault="003F4DBF" w:rsidP="003F4DBF">
      <w:pPr>
        <w:rPr>
          <w:sz w:val="24"/>
          <w:szCs w:val="24"/>
        </w:rPr>
      </w:pPr>
      <w:r w:rsidRPr="00B85D82">
        <w:rPr>
          <w:sz w:val="24"/>
          <w:szCs w:val="24"/>
          <w:u w:val="single"/>
        </w:rPr>
        <w:t>NÍVEL DO RISCO</w:t>
      </w:r>
      <w:r w:rsidRPr="00B85D82">
        <w:rPr>
          <w:sz w:val="24"/>
          <w:szCs w:val="24"/>
        </w:rPr>
        <w:t xml:space="preserve">: O nível de risco determina o grau de exposição da organização ao respectivo evento de risco. A determinação do nível de risco (se </w:t>
      </w:r>
      <w:r w:rsidRPr="00B85D82">
        <w:rPr>
          <w:b/>
          <w:sz w:val="24"/>
          <w:szCs w:val="24"/>
          <w:u w:val="single"/>
        </w:rPr>
        <w:t>baixo, médio, alto ou extremo</w:t>
      </w:r>
      <w:r w:rsidRPr="00B85D82">
        <w:rPr>
          <w:sz w:val="24"/>
          <w:szCs w:val="24"/>
        </w:rPr>
        <w:t>) dependerá do posicionamento dos pesos da probabilidade versus impacto do evento de risco na matriz de riscos.</w:t>
      </w:r>
    </w:p>
    <w:p w:rsidR="003F4DBF" w:rsidRPr="008E169C" w:rsidRDefault="003F4DBF" w:rsidP="003F4DBF">
      <w:pPr>
        <w:rPr>
          <w:sz w:val="20"/>
          <w:szCs w:val="20"/>
        </w:rPr>
      </w:pPr>
      <w:r w:rsidRPr="00B85D82">
        <w:rPr>
          <w:noProof/>
          <w:sz w:val="20"/>
          <w:szCs w:val="20"/>
          <w:lang w:eastAsia="pt-BR"/>
        </w:rPr>
        <w:lastRenderedPageBreak/>
        <w:drawing>
          <wp:inline distT="0" distB="0" distL="0" distR="0" wp14:anchorId="7ACC2941" wp14:editId="0557A8BD">
            <wp:extent cx="8687435" cy="5413281"/>
            <wp:effectExtent l="0" t="0" r="0" b="0"/>
            <wp:docPr id="1" name="Imagem 1" descr="C:\Users\andre.brandao\Desktop\Captura - Matriz de Risc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ndre.brandao\Desktop\Captura - Matriz de Riscos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7435" cy="5413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DBF" w:rsidRPr="00B85D82" w:rsidRDefault="003F4DBF" w:rsidP="003F4DBF">
      <w:pPr>
        <w:spacing w:after="0" w:line="240" w:lineRule="auto"/>
        <w:jc w:val="both"/>
        <w:rPr>
          <w:sz w:val="24"/>
          <w:szCs w:val="24"/>
        </w:rPr>
      </w:pPr>
      <w:r w:rsidRPr="00B85D82">
        <w:rPr>
          <w:b/>
          <w:sz w:val="24"/>
          <w:szCs w:val="24"/>
        </w:rPr>
        <w:lastRenderedPageBreak/>
        <w:t>RECOMENDAÇÃO:</w:t>
      </w:r>
      <w:r w:rsidRPr="00B85D82">
        <w:rPr>
          <w:sz w:val="24"/>
          <w:szCs w:val="24"/>
        </w:rPr>
        <w:t xml:space="preserve"> </w:t>
      </w:r>
    </w:p>
    <w:p w:rsidR="003F4DBF" w:rsidRPr="00B85D82" w:rsidRDefault="003F4DBF" w:rsidP="003F4DBF">
      <w:pPr>
        <w:spacing w:after="0" w:line="240" w:lineRule="auto"/>
        <w:jc w:val="both"/>
        <w:rPr>
          <w:sz w:val="24"/>
          <w:szCs w:val="24"/>
        </w:rPr>
      </w:pPr>
      <w:r w:rsidRPr="00B85D82">
        <w:rPr>
          <w:sz w:val="24"/>
          <w:szCs w:val="24"/>
        </w:rPr>
        <w:t>Conforme disposições do Instrumento de Padronização dos Procedimentos de Contratação do Ministério da Gestão e da Inovação em Serviços Públicos - Advocacia-Geral da União (AGU), pag. 33, a identificação dos possíveis riscos a impactar e possivelmente prejudicar o êxito da contratação deve guardar pertinência com as especificidades da pretensão, devendo-se evitar indicações genéricas e meramente protocolares.</w:t>
      </w:r>
    </w:p>
    <w:p w:rsidR="003F4DBF" w:rsidRPr="00B85D82" w:rsidRDefault="003F4DBF" w:rsidP="003F4DBF">
      <w:pPr>
        <w:spacing w:after="0" w:line="240" w:lineRule="auto"/>
        <w:jc w:val="both"/>
        <w:rPr>
          <w:sz w:val="24"/>
          <w:szCs w:val="24"/>
        </w:rPr>
      </w:pPr>
      <w:r w:rsidRPr="00B85D82">
        <w:rPr>
          <w:sz w:val="24"/>
          <w:szCs w:val="24"/>
        </w:rPr>
        <w:t xml:space="preserve">O </w:t>
      </w:r>
      <w:r w:rsidRPr="00B85D82">
        <w:rPr>
          <w:rFonts w:hint="eastAsia"/>
          <w:sz w:val="24"/>
          <w:szCs w:val="24"/>
        </w:rPr>
        <w:t>“</w:t>
      </w:r>
      <w:r w:rsidRPr="00B85D82">
        <w:rPr>
          <w:sz w:val="24"/>
          <w:szCs w:val="24"/>
        </w:rPr>
        <w:t>Mapa de Riscos</w:t>
      </w:r>
      <w:r w:rsidRPr="00B85D82">
        <w:rPr>
          <w:rFonts w:hint="eastAsia"/>
          <w:sz w:val="24"/>
          <w:szCs w:val="24"/>
        </w:rPr>
        <w:t>”</w:t>
      </w:r>
      <w:r w:rsidRPr="00B85D82">
        <w:rPr>
          <w:sz w:val="24"/>
          <w:szCs w:val="24"/>
        </w:rPr>
        <w:t>, o qual deve ser reanalisado conforme avança o planejamento da contratação, haja vista o constante aumento de elementos a melhor precisar as suas necessidades e vicissitudes, deverá ser atualizado e juntado:</w:t>
      </w:r>
    </w:p>
    <w:p w:rsidR="003F4DBF" w:rsidRPr="00B85D82" w:rsidRDefault="003F4DBF" w:rsidP="0027358A">
      <w:pPr>
        <w:pStyle w:val="PargrafodaLista"/>
        <w:numPr>
          <w:ilvl w:val="0"/>
          <w:numId w:val="4"/>
        </w:numPr>
        <w:spacing w:line="276" w:lineRule="auto"/>
        <w:rPr>
          <w:sz w:val="24"/>
          <w:szCs w:val="24"/>
        </w:rPr>
      </w:pPr>
      <w:proofErr w:type="gramStart"/>
      <w:r w:rsidRPr="00B85D82">
        <w:rPr>
          <w:sz w:val="24"/>
          <w:szCs w:val="24"/>
        </w:rPr>
        <w:t>ao</w:t>
      </w:r>
      <w:proofErr w:type="gramEnd"/>
      <w:r w:rsidRPr="00B85D82">
        <w:rPr>
          <w:sz w:val="24"/>
          <w:szCs w:val="24"/>
        </w:rPr>
        <w:t xml:space="preserve"> final da elaboração do Estudo Técnico Preliminar;</w:t>
      </w:r>
    </w:p>
    <w:p w:rsidR="003F4DBF" w:rsidRPr="00B85D82" w:rsidRDefault="003F4DBF" w:rsidP="0027358A">
      <w:pPr>
        <w:pStyle w:val="PargrafodaLista"/>
        <w:numPr>
          <w:ilvl w:val="0"/>
          <w:numId w:val="4"/>
        </w:numPr>
        <w:spacing w:line="276" w:lineRule="auto"/>
        <w:rPr>
          <w:sz w:val="24"/>
          <w:szCs w:val="24"/>
        </w:rPr>
      </w:pPr>
      <w:proofErr w:type="gramStart"/>
      <w:r w:rsidRPr="00B85D82">
        <w:rPr>
          <w:sz w:val="24"/>
          <w:szCs w:val="24"/>
        </w:rPr>
        <w:t>ao</w:t>
      </w:r>
      <w:proofErr w:type="gramEnd"/>
      <w:r w:rsidRPr="00B85D82">
        <w:rPr>
          <w:sz w:val="24"/>
          <w:szCs w:val="24"/>
        </w:rPr>
        <w:t xml:space="preserve"> final da elaboração do Termo de Referência;</w:t>
      </w:r>
    </w:p>
    <w:p w:rsidR="0027358A" w:rsidRPr="0027358A" w:rsidRDefault="003F4DBF" w:rsidP="0027358A">
      <w:pPr>
        <w:pStyle w:val="PargrafodaLista"/>
        <w:numPr>
          <w:ilvl w:val="0"/>
          <w:numId w:val="4"/>
        </w:numPr>
        <w:spacing w:after="0" w:line="276" w:lineRule="auto"/>
        <w:rPr>
          <w:rFonts w:cstheme="minorHAnsi"/>
          <w:b/>
          <w:sz w:val="24"/>
          <w:szCs w:val="24"/>
        </w:rPr>
      </w:pPr>
      <w:proofErr w:type="gramStart"/>
      <w:r w:rsidRPr="0027358A">
        <w:rPr>
          <w:sz w:val="24"/>
          <w:szCs w:val="24"/>
        </w:rPr>
        <w:t>após</w:t>
      </w:r>
      <w:proofErr w:type="gramEnd"/>
      <w:r w:rsidRPr="0027358A">
        <w:rPr>
          <w:sz w:val="24"/>
          <w:szCs w:val="24"/>
        </w:rPr>
        <w:t xml:space="preserve"> a fase de Seleção do Fornecedor; e</w:t>
      </w:r>
    </w:p>
    <w:p w:rsidR="003F4DBF" w:rsidRPr="0027358A" w:rsidRDefault="003F4DBF" w:rsidP="0027358A">
      <w:pPr>
        <w:pStyle w:val="PargrafodaLista"/>
        <w:numPr>
          <w:ilvl w:val="0"/>
          <w:numId w:val="4"/>
        </w:numPr>
        <w:spacing w:after="0" w:line="276" w:lineRule="auto"/>
        <w:rPr>
          <w:rFonts w:cstheme="minorHAnsi"/>
          <w:b/>
          <w:sz w:val="24"/>
          <w:szCs w:val="24"/>
        </w:rPr>
      </w:pPr>
      <w:proofErr w:type="gramStart"/>
      <w:r w:rsidRPr="0027358A">
        <w:rPr>
          <w:sz w:val="24"/>
          <w:szCs w:val="24"/>
        </w:rPr>
        <w:t>após</w:t>
      </w:r>
      <w:proofErr w:type="gramEnd"/>
      <w:r w:rsidRPr="0027358A">
        <w:rPr>
          <w:sz w:val="24"/>
          <w:szCs w:val="24"/>
        </w:rPr>
        <w:t xml:space="preserve"> eventos relevantes.</w:t>
      </w:r>
    </w:p>
    <w:sectPr w:rsidR="003F4DBF" w:rsidRPr="0027358A" w:rsidSect="002B5F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348" w:right="1740" w:bottom="1701" w:left="1417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7B4" w:rsidRDefault="004467B4" w:rsidP="00C71E4F">
      <w:pPr>
        <w:spacing w:after="0" w:line="240" w:lineRule="auto"/>
      </w:pPr>
      <w:r>
        <w:separator/>
      </w:r>
    </w:p>
  </w:endnote>
  <w:endnote w:type="continuationSeparator" w:id="0">
    <w:p w:rsidR="004467B4" w:rsidRDefault="004467B4" w:rsidP="00C71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ECE" w:rsidRDefault="00D63EC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E4F" w:rsidRPr="00356483" w:rsidRDefault="00C71E4F" w:rsidP="00C71E4F">
    <w:pPr>
      <w:pStyle w:val="Rodap"/>
      <w:ind w:left="-284"/>
      <w:jc w:val="center"/>
      <w:rPr>
        <w:rFonts w:ascii="Calibri" w:hAnsi="Calibri"/>
        <w:b/>
        <w:color w:val="3B3838" w:themeColor="background2" w:themeShade="40"/>
        <w:sz w:val="20"/>
        <w:szCs w:val="20"/>
      </w:rPr>
    </w:pPr>
    <w:r w:rsidRPr="00356483">
      <w:rPr>
        <w:rFonts w:ascii="Calibri" w:hAnsi="Calibri"/>
        <w:b/>
        <w:color w:val="3B3838" w:themeColor="background2" w:themeShade="40"/>
        <w:sz w:val="20"/>
        <w:szCs w:val="20"/>
      </w:rPr>
      <w:t xml:space="preserve">Superintendência do </w:t>
    </w:r>
    <w:r w:rsidR="00C707AE" w:rsidRPr="00356483">
      <w:rPr>
        <w:rFonts w:ascii="Calibri" w:hAnsi="Calibri"/>
        <w:b/>
        <w:color w:val="3B3838" w:themeColor="background2" w:themeShade="40"/>
        <w:sz w:val="20"/>
        <w:szCs w:val="20"/>
      </w:rPr>
      <w:t xml:space="preserve">Sistema de Registro de Preços - </w:t>
    </w:r>
    <w:r w:rsidRPr="00356483">
      <w:rPr>
        <w:rFonts w:ascii="Calibri" w:hAnsi="Calibri"/>
        <w:b/>
        <w:color w:val="3B3838" w:themeColor="background2" w:themeShade="40"/>
        <w:sz w:val="20"/>
        <w:szCs w:val="20"/>
      </w:rPr>
      <w:t>Secretaria-Executiva de Compras Governamentais</w:t>
    </w:r>
  </w:p>
  <w:p w:rsidR="00C71E4F" w:rsidRPr="00356483" w:rsidRDefault="00C707AE" w:rsidP="00C71E4F">
    <w:pPr>
      <w:pStyle w:val="Rodap"/>
      <w:jc w:val="center"/>
      <w:rPr>
        <w:color w:val="3B3838" w:themeColor="background2" w:themeShade="40"/>
        <w:sz w:val="20"/>
        <w:szCs w:val="20"/>
      </w:rPr>
    </w:pPr>
    <w:r w:rsidRPr="00356483">
      <w:rPr>
        <w:rFonts w:ascii="Calibri" w:hAnsi="Calibri"/>
        <w:color w:val="3B3838" w:themeColor="background2" w:themeShade="40"/>
        <w:sz w:val="20"/>
        <w:szCs w:val="20"/>
      </w:rPr>
      <w:t xml:space="preserve">Avenida Afonso Pena, 3.297 - Paço Municipal - </w:t>
    </w:r>
    <w:r w:rsidR="00C71E4F" w:rsidRPr="00356483">
      <w:rPr>
        <w:rFonts w:ascii="Calibri" w:hAnsi="Calibri"/>
        <w:color w:val="3B3838" w:themeColor="background2" w:themeShade="40"/>
        <w:sz w:val="20"/>
        <w:szCs w:val="20"/>
      </w:rPr>
      <w:t>CEP: 79.002-9</w:t>
    </w:r>
    <w:r w:rsidR="00587E51" w:rsidRPr="00356483">
      <w:rPr>
        <w:rFonts w:ascii="Calibri" w:hAnsi="Calibri"/>
        <w:color w:val="3B3838" w:themeColor="background2" w:themeShade="40"/>
        <w:sz w:val="20"/>
        <w:szCs w:val="20"/>
      </w:rPr>
      <w:t>4</w:t>
    </w:r>
    <w:r w:rsidR="00C71E4F" w:rsidRPr="00356483">
      <w:rPr>
        <w:rFonts w:ascii="Calibri" w:hAnsi="Calibri"/>
        <w:color w:val="3B3838" w:themeColor="background2" w:themeShade="40"/>
        <w:sz w:val="20"/>
        <w:szCs w:val="20"/>
      </w:rPr>
      <w:t>9.</w:t>
    </w:r>
  </w:p>
  <w:p w:rsidR="00C71E4F" w:rsidRDefault="00C71E4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ECE" w:rsidRDefault="00D63EC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7B4" w:rsidRDefault="004467B4" w:rsidP="00C71E4F">
      <w:pPr>
        <w:spacing w:after="0" w:line="240" w:lineRule="auto"/>
      </w:pPr>
      <w:r>
        <w:separator/>
      </w:r>
    </w:p>
  </w:footnote>
  <w:footnote w:type="continuationSeparator" w:id="0">
    <w:p w:rsidR="004467B4" w:rsidRDefault="004467B4" w:rsidP="00C71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ECE" w:rsidRDefault="00D63EC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E4F" w:rsidRDefault="00D63ECE" w:rsidP="00FD21D6">
    <w:pPr>
      <w:pStyle w:val="Cabealho"/>
      <w:tabs>
        <w:tab w:val="center" w:pos="6840"/>
        <w:tab w:val="left" w:pos="12885"/>
      </w:tabs>
      <w:jc w:val="center"/>
    </w:pPr>
    <w:r w:rsidRPr="005A0741">
      <w:rPr>
        <w:rFonts w:ascii="Calibri" w:hAnsi="Calibri" w:cs="Calibri"/>
        <w:noProof/>
        <w:lang w:eastAsia="pt-BR"/>
      </w:rPr>
      <w:drawing>
        <wp:inline distT="0" distB="0" distL="0" distR="0" wp14:anchorId="7164C856" wp14:editId="42668A3F">
          <wp:extent cx="4914900" cy="1047750"/>
          <wp:effectExtent l="0" t="0" r="0" b="0"/>
          <wp:docPr id="2" name="Imagem 2" descr="Logo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71E4F" w:rsidRDefault="00C71E4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ECE" w:rsidRDefault="00D63EC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56701"/>
    <w:multiLevelType w:val="hybridMultilevel"/>
    <w:tmpl w:val="C2082B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E5AE3"/>
    <w:multiLevelType w:val="hybridMultilevel"/>
    <w:tmpl w:val="0122E9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D63B7"/>
    <w:multiLevelType w:val="hybridMultilevel"/>
    <w:tmpl w:val="15EAEF0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E173C"/>
    <w:multiLevelType w:val="hybridMultilevel"/>
    <w:tmpl w:val="F8D214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2303C"/>
    <w:multiLevelType w:val="hybridMultilevel"/>
    <w:tmpl w:val="1FE278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E4F"/>
    <w:rsid w:val="000136F9"/>
    <w:rsid w:val="00035E04"/>
    <w:rsid w:val="00056710"/>
    <w:rsid w:val="00070EFC"/>
    <w:rsid w:val="00080BB0"/>
    <w:rsid w:val="001432DD"/>
    <w:rsid w:val="00192081"/>
    <w:rsid w:val="001F3E36"/>
    <w:rsid w:val="0027358A"/>
    <w:rsid w:val="00277E2A"/>
    <w:rsid w:val="002B5FF9"/>
    <w:rsid w:val="002C5CB7"/>
    <w:rsid w:val="002F7AA1"/>
    <w:rsid w:val="002F7B06"/>
    <w:rsid w:val="00316C20"/>
    <w:rsid w:val="00356483"/>
    <w:rsid w:val="003A2FAE"/>
    <w:rsid w:val="003D477A"/>
    <w:rsid w:val="003D4AEC"/>
    <w:rsid w:val="003F4DBF"/>
    <w:rsid w:val="00400949"/>
    <w:rsid w:val="00402716"/>
    <w:rsid w:val="00444A32"/>
    <w:rsid w:val="004467B4"/>
    <w:rsid w:val="00461993"/>
    <w:rsid w:val="004918B1"/>
    <w:rsid w:val="004F73AE"/>
    <w:rsid w:val="00521AA3"/>
    <w:rsid w:val="00564ECE"/>
    <w:rsid w:val="00575BE8"/>
    <w:rsid w:val="00587E51"/>
    <w:rsid w:val="0064083B"/>
    <w:rsid w:val="00654E59"/>
    <w:rsid w:val="00656ACC"/>
    <w:rsid w:val="006B4401"/>
    <w:rsid w:val="006F1A90"/>
    <w:rsid w:val="00726D1E"/>
    <w:rsid w:val="007A3519"/>
    <w:rsid w:val="007E0367"/>
    <w:rsid w:val="0082456B"/>
    <w:rsid w:val="00834485"/>
    <w:rsid w:val="008436D7"/>
    <w:rsid w:val="009D3BB0"/>
    <w:rsid w:val="00A27470"/>
    <w:rsid w:val="00A42DD6"/>
    <w:rsid w:val="00A53207"/>
    <w:rsid w:val="00AC7122"/>
    <w:rsid w:val="00AD4E42"/>
    <w:rsid w:val="00B16081"/>
    <w:rsid w:val="00B23EB0"/>
    <w:rsid w:val="00B36989"/>
    <w:rsid w:val="00B92B2A"/>
    <w:rsid w:val="00BF1625"/>
    <w:rsid w:val="00C707AE"/>
    <w:rsid w:val="00C71E4F"/>
    <w:rsid w:val="00C84DE0"/>
    <w:rsid w:val="00C863F9"/>
    <w:rsid w:val="00CB7062"/>
    <w:rsid w:val="00CC4EB0"/>
    <w:rsid w:val="00CD32F6"/>
    <w:rsid w:val="00CE7B76"/>
    <w:rsid w:val="00D25E8D"/>
    <w:rsid w:val="00D32BDB"/>
    <w:rsid w:val="00D51CE8"/>
    <w:rsid w:val="00D63ECE"/>
    <w:rsid w:val="00D942ED"/>
    <w:rsid w:val="00DB5D00"/>
    <w:rsid w:val="00E16F99"/>
    <w:rsid w:val="00E357EC"/>
    <w:rsid w:val="00E36815"/>
    <w:rsid w:val="00E47859"/>
    <w:rsid w:val="00E633C4"/>
    <w:rsid w:val="00ED2A2A"/>
    <w:rsid w:val="00F23C05"/>
    <w:rsid w:val="00FA2CC8"/>
    <w:rsid w:val="00FD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4E234E6C-E49C-40C9-93B3-12590EADA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71E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71E4F"/>
  </w:style>
  <w:style w:type="paragraph" w:styleId="Rodap">
    <w:name w:val="footer"/>
    <w:basedOn w:val="Normal"/>
    <w:link w:val="RodapChar"/>
    <w:uiPriority w:val="99"/>
    <w:unhideWhenUsed/>
    <w:rsid w:val="00C71E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71E4F"/>
  </w:style>
  <w:style w:type="character" w:styleId="Hyperlink">
    <w:name w:val="Hyperlink"/>
    <w:basedOn w:val="Fontepargpadro"/>
    <w:uiPriority w:val="99"/>
    <w:unhideWhenUsed/>
    <w:rsid w:val="00C71E4F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rsid w:val="00C71E4F"/>
    <w:pPr>
      <w:tabs>
        <w:tab w:val="left" w:pos="1985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71E4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D2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D21D6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7E0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5A49D-E837-4B58-9934-A0D9ED8D6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853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andre.brandao</dc:creator>
  <cp:keywords/>
  <dc:description/>
  <cp:lastModifiedBy>Natali Gonçalves Ribas</cp:lastModifiedBy>
  <cp:revision>2</cp:revision>
  <cp:lastPrinted>2023-02-03T17:32:00Z</cp:lastPrinted>
  <dcterms:created xsi:type="dcterms:W3CDTF">2024-07-02T17:18:00Z</dcterms:created>
  <dcterms:modified xsi:type="dcterms:W3CDTF">2024-07-02T17:18:00Z</dcterms:modified>
</cp:coreProperties>
</file>